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E1" w:rsidRPr="00CE0FE1" w:rsidRDefault="00CE0FE1" w:rsidP="00CE0FE1">
      <w:pPr>
        <w:pStyle w:val="NormalWeb"/>
        <w:spacing w:before="120" w:beforeAutospacing="0" w:after="120" w:afterAutospacing="0"/>
        <w:jc w:val="center"/>
        <w:rPr>
          <w:rStyle w:val="Strong"/>
          <w:sz w:val="28"/>
        </w:rPr>
      </w:pPr>
      <w:r w:rsidRPr="00CE0FE1">
        <w:rPr>
          <w:rStyle w:val="Strong"/>
          <w:sz w:val="28"/>
        </w:rPr>
        <w:t>HƯỚNG DẪN HỌC SINH CHUẨN BỊ CHO VIỆC XÉT TUYỂN VÀO CÁC TRƯỜNG ĐẠI HỌC CAO ĐẲNG NĂM HỌC 2016-2017</w:t>
      </w:r>
    </w:p>
    <w:p w:rsidR="00CE0FE1" w:rsidRPr="00CE0FE1" w:rsidRDefault="00CE0FE1" w:rsidP="00CE0FE1">
      <w:pPr>
        <w:pStyle w:val="NormalWeb"/>
        <w:spacing w:before="120" w:beforeAutospacing="0" w:after="120" w:afterAutospacing="0"/>
        <w:jc w:val="center"/>
        <w:rPr>
          <w:rStyle w:val="Strong"/>
          <w:sz w:val="28"/>
        </w:rPr>
      </w:pPr>
    </w:p>
    <w:p w:rsidR="00CE0FE1" w:rsidRPr="00CE0FE1" w:rsidRDefault="00CE0FE1" w:rsidP="00CE0FE1">
      <w:pPr>
        <w:pStyle w:val="NormalWeb"/>
        <w:spacing w:before="120" w:beforeAutospacing="0" w:after="120" w:afterAutospacing="0"/>
        <w:jc w:val="both"/>
        <w:rPr>
          <w:sz w:val="28"/>
        </w:rPr>
      </w:pPr>
      <w:r w:rsidRPr="00CE0FE1">
        <w:rPr>
          <w:rStyle w:val="Strong"/>
          <w:sz w:val="28"/>
        </w:rPr>
        <w:t xml:space="preserve">1. </w:t>
      </w:r>
      <w:r w:rsidRPr="00CE0FE1">
        <w:rPr>
          <w:rStyle w:val="Strong"/>
          <w:sz w:val="28"/>
        </w:rPr>
        <w:t>Chỉ xét tuyển các thí sinh đã đăng ký sử dụng kết quả kỳ thi để xét tuyển ĐH, CĐ</w:t>
      </w:r>
    </w:p>
    <w:p w:rsidR="00CE0FE1" w:rsidRPr="00CE0FE1" w:rsidRDefault="00CE0FE1" w:rsidP="00FB216E">
      <w:pPr>
        <w:pStyle w:val="NormalWeb"/>
        <w:spacing w:before="120" w:beforeAutospacing="0" w:after="120" w:afterAutospacing="0"/>
        <w:ind w:firstLine="720"/>
        <w:jc w:val="both"/>
        <w:rPr>
          <w:sz w:val="28"/>
        </w:rPr>
      </w:pPr>
      <w:r w:rsidRPr="00CE0FE1">
        <w:rPr>
          <w:sz w:val="28"/>
        </w:rPr>
        <w:t>Về tổ chức tuyển sinh, đối với các trường sử dụng kết quả kỳ thi trung học phổ thông (THPT) quốc gia để xét tuyển, Bộ GD-ĐT quy định: Chỉ xét tuyển các thí sinh đã đăng ký sử dụng kết quả kỳ thi để xét tuyển ĐH, CĐ;</w:t>
      </w:r>
    </w:p>
    <w:p w:rsidR="00CE0FE1" w:rsidRPr="00CE0FE1" w:rsidRDefault="00CE0FE1" w:rsidP="00FB216E">
      <w:pPr>
        <w:pStyle w:val="NormalWeb"/>
        <w:spacing w:before="120" w:beforeAutospacing="0" w:after="120" w:afterAutospacing="0"/>
        <w:ind w:firstLine="720"/>
        <w:jc w:val="both"/>
        <w:rPr>
          <w:sz w:val="28"/>
        </w:rPr>
      </w:pPr>
      <w:r w:rsidRPr="00CE0FE1">
        <w:rPr>
          <w:sz w:val="28"/>
        </w:rPr>
        <w:t>Các trường công bố công khai trên trang thông tin điện tử của trường và các phương tiện thông tin đại chúng quy định xét tuyển vào các ngành hoặc nhóm ngành của trường bao gồm:</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Tổ hợp môn thi dùng để xét tuyển; Cách thức xét tuyển giữa ngành thứ nhất và thứ hai </w:t>
      </w:r>
      <w:proofErr w:type="gramStart"/>
      <w:r w:rsidRPr="00CE0FE1">
        <w:rPr>
          <w:sz w:val="28"/>
        </w:rPr>
        <w:t>theo</w:t>
      </w:r>
      <w:proofErr w:type="gramEnd"/>
      <w:r w:rsidRPr="00CE0FE1">
        <w:rPr>
          <w:sz w:val="28"/>
        </w:rPr>
        <w:t xml:space="preserve"> thứ tự ưu tiên trong Phiếu đăng ký xét tuyển (ĐKXT) của thí sinh;</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Chỉ tiêu tuyển sinh của từng ngành </w:t>
      </w:r>
      <w:proofErr w:type="gramStart"/>
      <w:r w:rsidRPr="00CE0FE1">
        <w:rPr>
          <w:sz w:val="28"/>
        </w:rPr>
        <w:t>theo</w:t>
      </w:r>
      <w:proofErr w:type="gramEnd"/>
      <w:r w:rsidRPr="00CE0FE1">
        <w:rPr>
          <w:sz w:val="28"/>
        </w:rPr>
        <w:t xml:space="preserve"> từng phương thức xét tuyển (nếu trường có đề án tự chủ tuyển sinh).</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Tổ chức nhận ĐKXT của thí sinh </w:t>
      </w:r>
      <w:proofErr w:type="gramStart"/>
      <w:r w:rsidRPr="00CE0FE1">
        <w:rPr>
          <w:sz w:val="28"/>
        </w:rPr>
        <w:t>theo</w:t>
      </w:r>
      <w:proofErr w:type="gramEnd"/>
      <w:r w:rsidRPr="00CE0FE1">
        <w:rPr>
          <w:sz w:val="28"/>
        </w:rPr>
        <w:t xml:space="preserve"> các phương thức được quy định tại Quy chế tuyển sinh; cập nhật dữ liệu ĐKXT của thí sinh lên hệ thống quản lý dữ liệu tuyển sinh quốc gia; thông báo công khai kết quả xét tuyển trên trang thông tin điện tử của trường;</w:t>
      </w:r>
    </w:p>
    <w:p w:rsidR="00CE0FE1" w:rsidRPr="00CE0FE1" w:rsidRDefault="00CE0FE1" w:rsidP="00FB216E">
      <w:pPr>
        <w:pStyle w:val="NormalWeb"/>
        <w:spacing w:before="120" w:beforeAutospacing="0" w:after="120" w:afterAutospacing="0"/>
        <w:ind w:firstLine="720"/>
        <w:jc w:val="both"/>
        <w:rPr>
          <w:sz w:val="28"/>
        </w:rPr>
      </w:pPr>
      <w:r w:rsidRPr="00CE0FE1">
        <w:rPr>
          <w:sz w:val="28"/>
        </w:rPr>
        <w:t>Với các trường có tổ chức sơ tuyển và các trường tổ chức thi môn năng khiếu, cần xây dựng kế hoạch sơ tuyển hoặc thi các môn năng khiếu đảm bảo: Có kết quả sơ tuyển trước ngày 01 tháng 8 năm 2016; có kết quả thi môn năng khiếu trước ngày bắt đầu của mỗi đợt xét tuyển;</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Các trường cần cập nhật vào hệ thống quản lý dữ liệu tuyển sinh quốc gia sau khi có kết quả: Danh sách các thí sinh đã đạt yêu cầu sơ tuyển (kèm </w:t>
      </w:r>
      <w:proofErr w:type="gramStart"/>
      <w:r w:rsidRPr="00CE0FE1">
        <w:rPr>
          <w:sz w:val="28"/>
        </w:rPr>
        <w:t>theo</w:t>
      </w:r>
      <w:proofErr w:type="gramEnd"/>
      <w:r w:rsidRPr="00CE0FE1">
        <w:rPr>
          <w:sz w:val="28"/>
        </w:rPr>
        <w:t xml:space="preserve"> số của Giấy chứng minh nhân dân hoặc số báo danh trong kỳ thi THPT quốc gia của thí sinh);</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Danh sách thí sinh dự thi (kèm </w:t>
      </w:r>
      <w:proofErr w:type="gramStart"/>
      <w:r w:rsidRPr="00CE0FE1">
        <w:rPr>
          <w:sz w:val="28"/>
        </w:rPr>
        <w:t>theo</w:t>
      </w:r>
      <w:proofErr w:type="gramEnd"/>
      <w:r w:rsidRPr="00CE0FE1">
        <w:rPr>
          <w:sz w:val="28"/>
        </w:rPr>
        <w:t xml:space="preserve"> số của Giấy chứng minh nhân dân hoặc số báo danh trong kỳ thi THPT quốc gia của thí sinh) và kết quả thi môn năng khiếu.</w:t>
      </w:r>
    </w:p>
    <w:p w:rsidR="00CE0FE1" w:rsidRPr="00CE0FE1" w:rsidRDefault="00CE0FE1" w:rsidP="00CE0FE1">
      <w:pPr>
        <w:pStyle w:val="NormalWeb"/>
        <w:spacing w:before="120" w:beforeAutospacing="0" w:after="120" w:afterAutospacing="0"/>
        <w:jc w:val="both"/>
        <w:rPr>
          <w:sz w:val="28"/>
        </w:rPr>
      </w:pPr>
      <w:r w:rsidRPr="00CE0FE1">
        <w:rPr>
          <w:rStyle w:val="Strong"/>
          <w:sz w:val="28"/>
        </w:rPr>
        <w:t xml:space="preserve">2. </w:t>
      </w:r>
      <w:r w:rsidRPr="00CE0FE1">
        <w:rPr>
          <w:rStyle w:val="Strong"/>
          <w:sz w:val="28"/>
        </w:rPr>
        <w:t>Có kết q</w:t>
      </w:r>
      <w:r w:rsidRPr="00CE0FE1">
        <w:rPr>
          <w:rStyle w:val="Strong"/>
          <w:sz w:val="28"/>
        </w:rPr>
        <w:t>ủa</w:t>
      </w:r>
      <w:r w:rsidRPr="00CE0FE1">
        <w:rPr>
          <w:rStyle w:val="Strong"/>
          <w:sz w:val="28"/>
        </w:rPr>
        <w:t xml:space="preserve"> 1</w:t>
      </w:r>
      <w:proofErr w:type="gramStart"/>
      <w:r w:rsidRPr="00CE0FE1">
        <w:rPr>
          <w:rStyle w:val="Strong"/>
          <w:sz w:val="28"/>
        </w:rPr>
        <w:t>,0</w:t>
      </w:r>
      <w:proofErr w:type="gramEnd"/>
      <w:r w:rsidRPr="00CE0FE1">
        <w:rPr>
          <w:rStyle w:val="Strong"/>
          <w:sz w:val="28"/>
        </w:rPr>
        <w:t xml:space="preserve"> điểm/môn trở xuống không được tham gia xét tuyển</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Đối với thí sinh đăng ký vào trường tổ chức tuyển sinh riêng: Có đủ điều kiện tham gia tuyển sinh quy định tại Điều 6 của Quy chế tuyển sinh; Đáp ứng các yêu cầu xét tuyển quy định tại Đề </w:t>
      </w:r>
      <w:proofErr w:type="gramStart"/>
      <w:r w:rsidRPr="00CE0FE1">
        <w:rPr>
          <w:sz w:val="28"/>
        </w:rPr>
        <w:t>án</w:t>
      </w:r>
      <w:proofErr w:type="gramEnd"/>
      <w:r w:rsidRPr="00CE0FE1">
        <w:rPr>
          <w:sz w:val="28"/>
        </w:rPr>
        <w:t xml:space="preserve"> tự chủ tuyển sinh của trường;</w:t>
      </w:r>
    </w:p>
    <w:p w:rsidR="00CE0FE1" w:rsidRPr="00CE0FE1" w:rsidRDefault="00CE0FE1" w:rsidP="00FB216E">
      <w:pPr>
        <w:pStyle w:val="NormalWeb"/>
        <w:spacing w:before="120" w:beforeAutospacing="0" w:after="120" w:afterAutospacing="0"/>
        <w:ind w:firstLine="720"/>
        <w:jc w:val="both"/>
        <w:rPr>
          <w:sz w:val="28"/>
        </w:rPr>
      </w:pPr>
      <w:r w:rsidRPr="00CE0FE1">
        <w:rPr>
          <w:sz w:val="28"/>
        </w:rPr>
        <w:t>Đối với thí sinh đăng ký vào trường sử dụng kết quả kỳ thi THPT quốc gia để xét tuyển: Có đủ điều kiện tham gia tuyển sinh quy định tại Điều 6 của Quy chế tuyển sinh; Đã đăng ký sử dụng kết quả kỳ thi THPT quốc gia để xét tuyển ĐH, CĐ; Tổng điểm các môn thi của tổ hợp môn thi dùng để xét tuyển không thấp hơn điểm xét tuyển do trường quy định và không có môn thi nào trong tổ hợp xét tuyển có kết quả từ 1,0 điểm trở xuống; Đáp ứng các yêu cầu khác về điều kiện xét tuyển do trường công bố công khai trên trang thông tin điện tử của trường.</w:t>
      </w:r>
    </w:p>
    <w:p w:rsidR="00CE0FE1" w:rsidRPr="00CE0FE1" w:rsidRDefault="00CE0FE1" w:rsidP="00CE0FE1">
      <w:pPr>
        <w:pStyle w:val="NormalWeb"/>
        <w:spacing w:before="120" w:beforeAutospacing="0" w:after="120" w:afterAutospacing="0"/>
        <w:jc w:val="both"/>
        <w:rPr>
          <w:sz w:val="28"/>
        </w:rPr>
      </w:pPr>
      <w:r w:rsidRPr="00CE0FE1">
        <w:rPr>
          <w:rStyle w:val="Strong"/>
          <w:sz w:val="28"/>
        </w:rPr>
        <w:lastRenderedPageBreak/>
        <w:t xml:space="preserve">3. </w:t>
      </w:r>
      <w:r w:rsidRPr="00CE0FE1">
        <w:rPr>
          <w:rStyle w:val="Strong"/>
          <w:sz w:val="28"/>
        </w:rPr>
        <w:t>Sử dụng nhiều tổ hợp môn thi để xét tuyển</w:t>
      </w:r>
    </w:p>
    <w:p w:rsidR="00CE0FE1" w:rsidRPr="00CE0FE1" w:rsidRDefault="00CE0FE1" w:rsidP="00FB216E">
      <w:pPr>
        <w:pStyle w:val="NormalWeb"/>
        <w:spacing w:before="120" w:beforeAutospacing="0" w:after="120" w:afterAutospacing="0"/>
        <w:ind w:firstLine="720"/>
        <w:jc w:val="both"/>
        <w:rPr>
          <w:sz w:val="28"/>
        </w:rPr>
      </w:pPr>
      <w:r w:rsidRPr="00CE0FE1">
        <w:rPr>
          <w:sz w:val="28"/>
        </w:rPr>
        <w:t>Trước mỗi đợt xét tuyển, các trường thông báo công khai trên trang thông tin điện tử của trường chỉ tiêu của các ngành đối với đợt xét tuyển đó.</w:t>
      </w:r>
    </w:p>
    <w:p w:rsidR="00CE0FE1" w:rsidRPr="00CE0FE1" w:rsidRDefault="00CE0FE1" w:rsidP="00FB216E">
      <w:pPr>
        <w:pStyle w:val="NormalWeb"/>
        <w:spacing w:before="120" w:beforeAutospacing="0" w:after="120" w:afterAutospacing="0"/>
        <w:ind w:firstLine="720"/>
        <w:jc w:val="both"/>
        <w:rPr>
          <w:sz w:val="28"/>
        </w:rPr>
      </w:pPr>
      <w:r w:rsidRPr="00CE0FE1">
        <w:rPr>
          <w:sz w:val="28"/>
        </w:rPr>
        <w:t>Trường hợp sử dụng nhiều tổ hợp môn thi để xét tuyển cho một ngành, trường cần quy định mức chênh lệch điểm trúng tuyển giữa các tổ hợp hoặc chỉ tiêu dành cho mỗi tổ hợp.</w:t>
      </w:r>
    </w:p>
    <w:p w:rsidR="00CE0FE1" w:rsidRPr="00CE0FE1" w:rsidRDefault="00CE0FE1" w:rsidP="00FB216E">
      <w:pPr>
        <w:pStyle w:val="NormalWeb"/>
        <w:spacing w:before="120" w:beforeAutospacing="0" w:after="120" w:afterAutospacing="0"/>
        <w:ind w:firstLine="720"/>
        <w:jc w:val="both"/>
        <w:rPr>
          <w:sz w:val="28"/>
        </w:rPr>
      </w:pPr>
      <w:r w:rsidRPr="00CE0FE1">
        <w:rPr>
          <w:sz w:val="28"/>
        </w:rPr>
        <w:t>Bộ GD-ĐT lưu ý: đối với những ngành trường đã tuyển sinh từ năm 2014 trở về trước phải dành ít nhất 50% chỉ tiêu để xét tuyển theo khối thi truyền thống (khối thi áp dụng từ năm 2014 trở về trước); Cách thức xử lý khi các thí sinh có cùng điểm xét tuyển; các điều kiện bổ sung (nếu có);</w:t>
      </w:r>
    </w:p>
    <w:p w:rsidR="00CE0FE1" w:rsidRPr="00CE0FE1" w:rsidRDefault="00CE0FE1" w:rsidP="00FB216E">
      <w:pPr>
        <w:pStyle w:val="NormalWeb"/>
        <w:spacing w:before="120" w:beforeAutospacing="0" w:after="120" w:afterAutospacing="0"/>
        <w:ind w:firstLine="720"/>
        <w:jc w:val="both"/>
        <w:rPr>
          <w:sz w:val="28"/>
        </w:rPr>
      </w:pPr>
      <w:r w:rsidRPr="00CE0FE1">
        <w:rPr>
          <w:sz w:val="28"/>
        </w:rPr>
        <w:t>Điểm xét tuyển của trường hoặc từng ngành. Điểm xét tuyển không được thấp hơn ngưỡng đảm bảo chất lượng đầu vào do Bộ GDĐT quy định.</w:t>
      </w:r>
    </w:p>
    <w:p w:rsidR="00CE0FE1" w:rsidRPr="00CE0FE1" w:rsidRDefault="00CE0FE1" w:rsidP="00CE0FE1">
      <w:pPr>
        <w:pStyle w:val="NormalWeb"/>
        <w:spacing w:before="120" w:beforeAutospacing="0" w:after="120" w:afterAutospacing="0"/>
        <w:jc w:val="both"/>
        <w:rPr>
          <w:sz w:val="28"/>
        </w:rPr>
      </w:pPr>
      <w:r w:rsidRPr="00CE0FE1">
        <w:rPr>
          <w:rStyle w:val="Strong"/>
          <w:sz w:val="28"/>
        </w:rPr>
        <w:t xml:space="preserve">4. </w:t>
      </w:r>
      <w:r w:rsidRPr="00CE0FE1">
        <w:rPr>
          <w:rStyle w:val="Strong"/>
          <w:sz w:val="28"/>
        </w:rPr>
        <w:t>Quy trình đăng ký xét tuyển năm 2016</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Xét tuyển đợt I: Mỗi thí sinh được đăng ký tối đa 2 trường, mỗi trường thí sinh được đăng ký tối đa 2 ngành xếp </w:t>
      </w:r>
      <w:proofErr w:type="gramStart"/>
      <w:r w:rsidRPr="00CE0FE1">
        <w:rPr>
          <w:sz w:val="28"/>
        </w:rPr>
        <w:t>theo</w:t>
      </w:r>
      <w:proofErr w:type="gramEnd"/>
      <w:r w:rsidRPr="00CE0FE1">
        <w:rPr>
          <w:sz w:val="28"/>
        </w:rPr>
        <w:t xml:space="preserve"> thứ tự ưu tiên từ 1 đến 2; Thí sinh không được thay đổi nguyện vọng trong đợt xét tuyển.</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Xét tuyển các đợt bổ sung: Mỗi đợt thí sinh được đăng ký tối đa vào 3 trường và trong mỗi trường được đăng ký tối đa 2 ngành xếp </w:t>
      </w:r>
      <w:proofErr w:type="gramStart"/>
      <w:r w:rsidRPr="00CE0FE1">
        <w:rPr>
          <w:sz w:val="28"/>
        </w:rPr>
        <w:t>theo</w:t>
      </w:r>
      <w:proofErr w:type="gramEnd"/>
      <w:r w:rsidRPr="00CE0FE1">
        <w:rPr>
          <w:sz w:val="28"/>
        </w:rPr>
        <w:t xml:space="preserve"> thứ tự ưu tiên từ 1 đến 2; Thí sinh không được thay đổi nguyện vọng trong từng đợt xét tuyển.</w:t>
      </w:r>
    </w:p>
    <w:p w:rsidR="00CE0FE1" w:rsidRPr="00CE0FE1" w:rsidRDefault="00CE0FE1" w:rsidP="00FB216E">
      <w:pPr>
        <w:pStyle w:val="NormalWeb"/>
        <w:spacing w:before="120" w:beforeAutospacing="0" w:after="120" w:afterAutospacing="0"/>
        <w:ind w:firstLine="720"/>
        <w:jc w:val="both"/>
        <w:rPr>
          <w:sz w:val="28"/>
        </w:rPr>
      </w:pPr>
      <w:r w:rsidRPr="00CE0FE1">
        <w:rPr>
          <w:sz w:val="28"/>
        </w:rPr>
        <w:t>Đăng ký xét tuyển vào các trường tuyển sinh theo nhóm (gọi chung là nhóm trường)</w:t>
      </w:r>
      <w:proofErr w:type="gramStart"/>
      <w:r w:rsidRPr="00CE0FE1">
        <w:rPr>
          <w:sz w:val="28"/>
        </w:rPr>
        <w:t>:Thí</w:t>
      </w:r>
      <w:proofErr w:type="gramEnd"/>
      <w:r w:rsidRPr="00CE0FE1">
        <w:rPr>
          <w:sz w:val="28"/>
        </w:rPr>
        <w:t xml:space="preserve"> sinh có thể sử dụng số ngành tối đa được phép của từng đợt xét tuyển (4 ngành trong đợt I và 6 ngành trong các đợt xét tuyển bổ sung) để đăng ký xét tuyển vào nhiều trường trong nhóm và sắp xếp các ngành đã đăng ký theo thứ tự ưu tiên. (Ví dụ trong đợt I, thí sinh có thể đăng ký xét tuyển vào 4 trường khác nhau trong nhóm nếu mỗi trường đăng ký 1 ngành hoặc đăng ký vào 3 trường khác nhau trong nhóm nếu đăng ký 2 ngành vào 1 trường và 2 ngành còn lại đăng ký vào 2 trường).</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Thí sinh đã đăng ký xét tuyển vào 2 trường trở lên trong nhóm ở đợt I hoặc 3 trường trở lên trong nhóm ở đợt xét tuyển bổ sung thì không được đăng ký xét tuyển </w:t>
      </w:r>
      <w:proofErr w:type="gramStart"/>
      <w:r w:rsidRPr="00CE0FE1">
        <w:rPr>
          <w:sz w:val="28"/>
        </w:rPr>
        <w:t>vào</w:t>
      </w:r>
      <w:proofErr w:type="gramEnd"/>
      <w:r w:rsidRPr="00CE0FE1">
        <w:rPr>
          <w:sz w:val="28"/>
        </w:rPr>
        <w:t xml:space="preserve"> các trường ngoài nhóm.</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Các nhóm trường quy định mẫu phiếu ĐKXT phù hợp với qui định này và công bố công khai cách thức xét tuyển giữa các ngành </w:t>
      </w:r>
      <w:proofErr w:type="gramStart"/>
      <w:r w:rsidRPr="00CE0FE1">
        <w:rPr>
          <w:sz w:val="28"/>
        </w:rPr>
        <w:t>theo</w:t>
      </w:r>
      <w:proofErr w:type="gramEnd"/>
      <w:r w:rsidRPr="00CE0FE1">
        <w:rPr>
          <w:sz w:val="28"/>
        </w:rPr>
        <w:t xml:space="preserve"> thứ tự ưu tiên trong Phiếu ĐKXT.</w:t>
      </w:r>
    </w:p>
    <w:p w:rsidR="00CE0FE1" w:rsidRPr="00CE0FE1" w:rsidRDefault="00CE0FE1" w:rsidP="00CE0FE1">
      <w:pPr>
        <w:pStyle w:val="NormalWeb"/>
        <w:spacing w:before="120" w:beforeAutospacing="0" w:after="120" w:afterAutospacing="0"/>
        <w:jc w:val="both"/>
        <w:rPr>
          <w:sz w:val="28"/>
        </w:rPr>
      </w:pPr>
      <w:r w:rsidRPr="00CE0FE1">
        <w:rPr>
          <w:rStyle w:val="Strong"/>
          <w:sz w:val="28"/>
        </w:rPr>
        <w:t xml:space="preserve">5. </w:t>
      </w:r>
      <w:r w:rsidRPr="00CE0FE1">
        <w:rPr>
          <w:rStyle w:val="Strong"/>
          <w:sz w:val="28"/>
        </w:rPr>
        <w:t>Thủ tục ĐKXT và phí ĐKXT:</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Thí sinh ĐKXT bằng cách điền đầy đủ thông tin vào Phiếu ĐKXT quy định tại phụ lục III của hướng dẫn này. Thí sinh ĐKXT vào các trường tuyển sinh </w:t>
      </w:r>
      <w:proofErr w:type="gramStart"/>
      <w:r w:rsidRPr="00CE0FE1">
        <w:rPr>
          <w:sz w:val="28"/>
        </w:rPr>
        <w:t>theo</w:t>
      </w:r>
      <w:proofErr w:type="gramEnd"/>
      <w:r w:rsidRPr="00CE0FE1">
        <w:rPr>
          <w:sz w:val="28"/>
        </w:rPr>
        <w:t xml:space="preserve"> nhóm điền đầy đủ thông tin vào Phiếu ĐKXT do nhóm trường qui định.</w:t>
      </w:r>
    </w:p>
    <w:p w:rsidR="00CE0FE1" w:rsidRPr="00CE0FE1" w:rsidRDefault="00CE0FE1" w:rsidP="00FB216E">
      <w:pPr>
        <w:pStyle w:val="NormalWeb"/>
        <w:spacing w:before="120" w:beforeAutospacing="0" w:after="120" w:afterAutospacing="0"/>
        <w:ind w:firstLine="720"/>
        <w:jc w:val="both"/>
        <w:rPr>
          <w:sz w:val="28"/>
        </w:rPr>
      </w:pPr>
      <w:r w:rsidRPr="00CE0FE1">
        <w:rPr>
          <w:sz w:val="28"/>
        </w:rPr>
        <w:t>Thí sinh không dùng quyền tuyển thẳng, đáp ứng các yêu cầu quy định tại khoản 3 Điều 7 Quy chế tuyển sinh, cần chọn mục “ưu tiên xét tuyển” và điền thêm các thông tin bổ sung vào Phiếu ĐKXT.</w:t>
      </w:r>
    </w:p>
    <w:p w:rsidR="00CE0FE1" w:rsidRPr="00CE0FE1" w:rsidRDefault="00CE0FE1" w:rsidP="00FB216E">
      <w:pPr>
        <w:pStyle w:val="NormalWeb"/>
        <w:spacing w:before="120" w:beforeAutospacing="0" w:after="120" w:afterAutospacing="0"/>
        <w:ind w:firstLine="720"/>
        <w:jc w:val="both"/>
        <w:rPr>
          <w:sz w:val="28"/>
        </w:rPr>
      </w:pPr>
      <w:r w:rsidRPr="00CE0FE1">
        <w:rPr>
          <w:sz w:val="28"/>
        </w:rPr>
        <w:lastRenderedPageBreak/>
        <w:t xml:space="preserve">Trong thời hạn quy định của mỗi đợt xét tuyển, thí sinh nộp Phiếu ĐKXT và phí dự tuyển qua đường bưu điện </w:t>
      </w:r>
      <w:proofErr w:type="gramStart"/>
      <w:r w:rsidRPr="00CE0FE1">
        <w:rPr>
          <w:sz w:val="28"/>
        </w:rPr>
        <w:t>theo</w:t>
      </w:r>
      <w:proofErr w:type="gramEnd"/>
      <w:r w:rsidRPr="00CE0FE1">
        <w:rPr>
          <w:sz w:val="28"/>
        </w:rPr>
        <w:t xml:space="preserve"> hình thức chuyển phát nhanh, chuyển phát ưu tiên hoặc bằng phương thức trực tuyến (online) hay theo phương thức khác do trường quy định đáp ứng yêu cầu của Quy chế.</w:t>
      </w:r>
    </w:p>
    <w:p w:rsidR="00CE0FE1" w:rsidRPr="00CE0FE1" w:rsidRDefault="00CE0FE1" w:rsidP="00FB216E">
      <w:pPr>
        <w:pStyle w:val="NormalWeb"/>
        <w:spacing w:before="120" w:beforeAutospacing="0" w:after="120" w:afterAutospacing="0"/>
        <w:ind w:firstLine="720"/>
        <w:jc w:val="both"/>
        <w:rPr>
          <w:sz w:val="28"/>
        </w:rPr>
      </w:pPr>
      <w:r w:rsidRPr="00CE0FE1">
        <w:rPr>
          <w:sz w:val="28"/>
        </w:rPr>
        <w:t>ĐKXT của thí sinh dù nộp qua đường bưu điện theo hình thức chuyển phát nhanh, dịch vụ chuyển phát ưu tiên (tính ngày theo dấu bưu điện) hoặc nộp bằng phương thức trực tuyến hay theo phương thức khác do trường quy định trong thời hạn quy định của mỗi đợt xét tuyển, đều hợp lệ và có giá trị xét tuyển như nhau.</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Phí dự tuyển được thực hiện </w:t>
      </w:r>
      <w:proofErr w:type="gramStart"/>
      <w:r w:rsidRPr="00CE0FE1">
        <w:rPr>
          <w:sz w:val="28"/>
        </w:rPr>
        <w:t>theo</w:t>
      </w:r>
      <w:proofErr w:type="gramEnd"/>
      <w:r w:rsidRPr="00CE0FE1">
        <w:rPr>
          <w:sz w:val="28"/>
        </w:rPr>
        <w:t xml:space="preserve"> Quy định tại Thông tư liên tịch của Bộ Tài chính-Bộ GDĐT quy định mức thu, chế độ thu, nộp, quản lý và sử dụng phí dự thi, dự tuyển (lệ phí tuyển sinh).</w:t>
      </w:r>
    </w:p>
    <w:p w:rsidR="00CE0FE1" w:rsidRPr="00CE0FE1" w:rsidRDefault="00CE0FE1" w:rsidP="00CE0FE1">
      <w:pPr>
        <w:pStyle w:val="NormalWeb"/>
        <w:spacing w:before="120" w:beforeAutospacing="0" w:after="120" w:afterAutospacing="0"/>
        <w:jc w:val="both"/>
        <w:rPr>
          <w:sz w:val="28"/>
        </w:rPr>
      </w:pPr>
      <w:r w:rsidRPr="00CE0FE1">
        <w:rPr>
          <w:rStyle w:val="Strong"/>
          <w:sz w:val="28"/>
        </w:rPr>
        <w:t xml:space="preserve">6. </w:t>
      </w:r>
      <w:r w:rsidRPr="00CE0FE1">
        <w:rPr>
          <w:rStyle w:val="Strong"/>
          <w:sz w:val="28"/>
        </w:rPr>
        <w:t>Xác nhận nguyện vọng học tại trường ĐH, CĐ</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Thí sinh trúng tuyển ở từng đợt xét tuyển phải nộp bản chính Giấy chứng nhận kết quả thi cho trường nhập học qua đường bưu điện </w:t>
      </w:r>
      <w:proofErr w:type="gramStart"/>
      <w:r w:rsidRPr="00CE0FE1">
        <w:rPr>
          <w:sz w:val="28"/>
        </w:rPr>
        <w:t>theo</w:t>
      </w:r>
      <w:proofErr w:type="gramEnd"/>
      <w:r w:rsidRPr="00CE0FE1">
        <w:rPr>
          <w:sz w:val="28"/>
        </w:rPr>
        <w:t xml:space="preserve"> hình thức chuyển phát nhanh, dịch vụ chuyển phát ưu tiên hoặc phương thức khác do trường quy định trong thời hạn quy định. Quá thời hạn này (tính ngày </w:t>
      </w:r>
      <w:proofErr w:type="gramStart"/>
      <w:r w:rsidRPr="00CE0FE1">
        <w:rPr>
          <w:sz w:val="28"/>
        </w:rPr>
        <w:t>theo</w:t>
      </w:r>
      <w:proofErr w:type="gramEnd"/>
      <w:r w:rsidRPr="00CE0FE1">
        <w:rPr>
          <w:sz w:val="28"/>
        </w:rPr>
        <w:t xml:space="preserve"> dấu bưu điện nếu nộp qua đường bưu điện) những thí sinh không nộp Giấy chứng nhận kết quả thi cho trường được xem như từ chối nhập học.</w:t>
      </w:r>
    </w:p>
    <w:p w:rsidR="00CE0FE1" w:rsidRPr="00CE0FE1" w:rsidRDefault="00CE0FE1" w:rsidP="00FB216E">
      <w:pPr>
        <w:pStyle w:val="NormalWeb"/>
        <w:spacing w:before="120" w:beforeAutospacing="0" w:after="120" w:afterAutospacing="0"/>
        <w:ind w:firstLine="720"/>
        <w:jc w:val="both"/>
        <w:rPr>
          <w:sz w:val="28"/>
        </w:rPr>
      </w:pPr>
      <w:r w:rsidRPr="00CE0FE1">
        <w:rPr>
          <w:sz w:val="28"/>
        </w:rPr>
        <w:t xml:space="preserve">Thí sinh thuộc diện “ưu tiên xét tuyển” cần nộp bổ sung: Phiếu đăng ký ưu tiên xét tuyển </w:t>
      </w:r>
      <w:proofErr w:type="gramStart"/>
      <w:r w:rsidRPr="00CE0FE1">
        <w:rPr>
          <w:sz w:val="28"/>
        </w:rPr>
        <w:t>theo</w:t>
      </w:r>
      <w:proofErr w:type="gramEnd"/>
      <w:r w:rsidRPr="00CE0FE1">
        <w:rPr>
          <w:sz w:val="28"/>
        </w:rPr>
        <w:t xml:space="preserve"> mẫu quy định tại Hướng dẫn tuyển thẳng và ưu tiên xét tuyển vào ĐH, CĐ năm 2016;</w:t>
      </w:r>
    </w:p>
    <w:p w:rsidR="00CE0FE1" w:rsidRPr="00CE0FE1" w:rsidRDefault="00CE0FE1" w:rsidP="00FB216E">
      <w:pPr>
        <w:pStyle w:val="NormalWeb"/>
        <w:spacing w:before="120" w:beforeAutospacing="0" w:after="120" w:afterAutospacing="0"/>
        <w:ind w:firstLine="720"/>
        <w:jc w:val="both"/>
        <w:rPr>
          <w:sz w:val="28"/>
        </w:rPr>
      </w:pPr>
      <w:r w:rsidRPr="00CE0FE1">
        <w:rPr>
          <w:sz w:val="28"/>
        </w:rPr>
        <w:t>Bản chính của một trong các giấy chứng nhận sau: Giấy chứng nhận đoạt giải Kỳ thi chọn học sinh giỏi quốc gia THPT; Giấy chứng nhận đoạt giải Cuộc thi khoa học kỹ thuật quốc gia; Giấy chứng nhận đoạt giải quốc tế về thể dục thể thao, năng khiếu nghệ thuật.</w:t>
      </w:r>
    </w:p>
    <w:p w:rsidR="00D418E8" w:rsidRPr="00CE0FE1" w:rsidRDefault="00D418E8" w:rsidP="00CE0FE1">
      <w:pPr>
        <w:jc w:val="both"/>
        <w:rPr>
          <w:sz w:val="28"/>
        </w:rPr>
      </w:pPr>
    </w:p>
    <w:p w:rsidR="00CE0FE1" w:rsidRDefault="00CE0FE1" w:rsidP="00CE0FE1">
      <w:pPr>
        <w:ind w:firstLine="720"/>
        <w:jc w:val="both"/>
        <w:rPr>
          <w:sz w:val="28"/>
        </w:rPr>
      </w:pPr>
      <w:r w:rsidRPr="00CE0FE1">
        <w:rPr>
          <w:b/>
          <w:sz w:val="28"/>
        </w:rPr>
        <w:t>Lưu ý:</w:t>
      </w:r>
      <w:r w:rsidRPr="00CE0FE1">
        <w:rPr>
          <w:sz w:val="28"/>
        </w:rPr>
        <w:t xml:space="preserve"> Các em học sinh nếu có nguyện vọng học tại trương đại học nào thì nên vào trang Web chính thức của trường đó để tìm hiểu chi tiết hơn về ngành học, phương thức nộp hồ sơ xét tuyển. </w:t>
      </w:r>
    </w:p>
    <w:p w:rsidR="00D1592F" w:rsidRDefault="00D1592F" w:rsidP="00CE0FE1">
      <w:pPr>
        <w:ind w:firstLine="720"/>
        <w:jc w:val="both"/>
        <w:rPr>
          <w:sz w:val="28"/>
        </w:rPr>
      </w:pPr>
      <w:r>
        <w:rPr>
          <w:sz w:val="28"/>
        </w:rPr>
        <w:t>Chúc các em có một kỳ thi thành công.</w:t>
      </w:r>
    </w:p>
    <w:p w:rsidR="00D1592F" w:rsidRDefault="00D1592F" w:rsidP="00CE0FE1">
      <w:pPr>
        <w:ind w:firstLine="720"/>
        <w:jc w:val="both"/>
        <w:rPr>
          <w:sz w:val="28"/>
        </w:rPr>
      </w:pPr>
    </w:p>
    <w:p w:rsidR="00D1592F" w:rsidRDefault="00D1592F" w:rsidP="00D1592F">
      <w:pPr>
        <w:ind w:left="3600" w:firstLine="720"/>
        <w:jc w:val="center"/>
        <w:rPr>
          <w:sz w:val="28"/>
        </w:rPr>
      </w:pPr>
      <w:r>
        <w:rPr>
          <w:sz w:val="28"/>
        </w:rPr>
        <w:t>T.M. Nhà trường</w:t>
      </w:r>
    </w:p>
    <w:p w:rsidR="00D1592F" w:rsidRDefault="00D1592F" w:rsidP="00D1592F">
      <w:pPr>
        <w:ind w:left="3600" w:firstLine="720"/>
        <w:jc w:val="center"/>
        <w:rPr>
          <w:sz w:val="28"/>
        </w:rPr>
      </w:pPr>
      <w:r>
        <w:rPr>
          <w:sz w:val="28"/>
        </w:rPr>
        <w:t>P. Hiệu trưởng</w:t>
      </w:r>
    </w:p>
    <w:p w:rsidR="00D1592F" w:rsidRPr="00F14D47" w:rsidRDefault="00F14D47" w:rsidP="00D1592F">
      <w:pPr>
        <w:ind w:left="3600" w:firstLine="720"/>
        <w:jc w:val="center"/>
        <w:rPr>
          <w:b/>
          <w:sz w:val="28"/>
        </w:rPr>
      </w:pPr>
      <w:r w:rsidRPr="00F14D47">
        <w:rPr>
          <w:sz w:val="28"/>
        </w:rPr>
        <w:t>Thầy:</w:t>
      </w:r>
      <w:r>
        <w:rPr>
          <w:b/>
          <w:sz w:val="28"/>
        </w:rPr>
        <w:t xml:space="preserve"> </w:t>
      </w:r>
      <w:r w:rsidR="00D1592F" w:rsidRPr="00F14D47">
        <w:rPr>
          <w:b/>
          <w:sz w:val="28"/>
        </w:rPr>
        <w:t>Ngu</w:t>
      </w:r>
      <w:bookmarkStart w:id="0" w:name="_GoBack"/>
      <w:bookmarkEnd w:id="0"/>
      <w:r w:rsidR="00D1592F" w:rsidRPr="00F14D47">
        <w:rPr>
          <w:b/>
          <w:sz w:val="28"/>
        </w:rPr>
        <w:t>yễn Tiến Dũng</w:t>
      </w:r>
    </w:p>
    <w:sectPr w:rsidR="00D1592F" w:rsidRPr="00F14D47" w:rsidSect="00FB216E">
      <w:pgSz w:w="12240" w:h="15840"/>
      <w:pgMar w:top="510" w:right="1191" w:bottom="851"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E1"/>
    <w:rsid w:val="0000391C"/>
    <w:rsid w:val="002E19BA"/>
    <w:rsid w:val="005032B7"/>
    <w:rsid w:val="0096557A"/>
    <w:rsid w:val="00A0665C"/>
    <w:rsid w:val="00CE0FE1"/>
    <w:rsid w:val="00D1592F"/>
    <w:rsid w:val="00D418E8"/>
    <w:rsid w:val="00F14D47"/>
    <w:rsid w:val="00FB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71D1-109C-4BFF-AA66-A492C98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FE1"/>
    <w:pPr>
      <w:spacing w:before="100" w:beforeAutospacing="1" w:after="100" w:afterAutospacing="1"/>
    </w:pPr>
    <w:rPr>
      <w:rFonts w:eastAsia="Times New Roman"/>
    </w:rPr>
  </w:style>
  <w:style w:type="character" w:styleId="Strong">
    <w:name w:val="Strong"/>
    <w:basedOn w:val="DefaultParagraphFont"/>
    <w:uiPriority w:val="22"/>
    <w:qFormat/>
    <w:rsid w:val="00CE0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Win 8.1 VS8 32bit</cp:lastModifiedBy>
  <cp:revision>5</cp:revision>
  <dcterms:created xsi:type="dcterms:W3CDTF">2016-03-15T15:09:00Z</dcterms:created>
  <dcterms:modified xsi:type="dcterms:W3CDTF">2016-03-15T15:21:00Z</dcterms:modified>
</cp:coreProperties>
</file>