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B82" w14:textId="77777777" w:rsidR="00A62C62" w:rsidRDefault="00A62C62" w:rsidP="00A62C62">
      <w:pPr>
        <w:tabs>
          <w:tab w:val="left" w:pos="567"/>
          <w:tab w:val="left" w:pos="1134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 w:rsidRPr="00A62C62">
        <w:rPr>
          <w:rFonts w:ascii="Times New Roman" w:eastAsia="Times New Roman" w:hAnsi="Times New Roman"/>
          <w:b/>
          <w:color w:val="FF0000"/>
          <w:sz w:val="26"/>
          <w:szCs w:val="26"/>
        </w:rPr>
        <w:t>MA TRẬN ĐỀ KIỂM TRA</w:t>
      </w:r>
      <w:r w:rsidR="001B00C3">
        <w:rPr>
          <w:rFonts w:ascii="Times New Roman" w:eastAsia="Times New Roman" w:hAnsi="Times New Roman"/>
          <w:b/>
          <w:color w:val="FF0000"/>
          <w:sz w:val="26"/>
          <w:szCs w:val="26"/>
        </w:rPr>
        <w:t xml:space="preserve"> GIỮA HỌC KÌ II</w:t>
      </w:r>
    </w:p>
    <w:p w14:paraId="47DFEA4A" w14:textId="77777777" w:rsidR="001B00C3" w:rsidRPr="00A62C62" w:rsidRDefault="001B00C3" w:rsidP="00A62C62">
      <w:pPr>
        <w:tabs>
          <w:tab w:val="left" w:pos="567"/>
          <w:tab w:val="left" w:pos="1134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</w:rPr>
        <w:t>MÔN: ĐỊA LÍ 11</w:t>
      </w:r>
    </w:p>
    <w:tbl>
      <w:tblPr>
        <w:tblW w:w="9300" w:type="dxa"/>
        <w:jc w:val="center"/>
        <w:tblLook w:val="01E0" w:firstRow="1" w:lastRow="1" w:firstColumn="1" w:lastColumn="1" w:noHBand="0" w:noVBand="0"/>
      </w:tblPr>
      <w:tblGrid>
        <w:gridCol w:w="1913"/>
        <w:gridCol w:w="1866"/>
        <w:gridCol w:w="2037"/>
        <w:gridCol w:w="1886"/>
        <w:gridCol w:w="1598"/>
      </w:tblGrid>
      <w:tr w:rsidR="00A62C62" w:rsidRPr="00A62C62" w14:paraId="7C4058F9" w14:textId="77777777" w:rsidTr="00A62C62">
        <w:trPr>
          <w:trHeight w:val="53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FE55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Chủ đề/Mức độ nhận thức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00D5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241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BF084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Vận dụng </w:t>
            </w:r>
            <w:r w:rsidR="004442F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thấp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6B6D2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Vận dụng cao</w:t>
            </w:r>
          </w:p>
        </w:tc>
      </w:tr>
      <w:tr w:rsidR="00A62C62" w:rsidRPr="00A62C62" w14:paraId="2CF2B31D" w14:textId="77777777" w:rsidTr="00A62C62">
        <w:trPr>
          <w:trHeight w:val="32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A23B9F" w14:textId="77777777" w:rsidR="00A62C62" w:rsidRPr="00A62C62" w:rsidRDefault="00A62C62" w:rsidP="002D5F11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Liên Bang Nga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D623A5" w14:textId="77777777" w:rsidR="00A62C62" w:rsidRPr="00A62C62" w:rsidRDefault="0063108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Biết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được </w:t>
            </w:r>
            <w:r w:rsidR="005764AD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qu</w:t>
            </w:r>
            <w:r w:rsidR="00156A07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á trình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phát triển kinh tế của LBN.</w:t>
            </w:r>
            <w:r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Nêu được đặc điểm của các ngành kinh tế của </w:t>
            </w:r>
            <w:r w:rsidR="009C5C94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LB </w:t>
            </w:r>
            <w:r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Nga.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224577" w14:textId="77777777" w:rsidR="00A62C62" w:rsidRPr="00A62C62" w:rsidRDefault="00B30A71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Hiểu</w:t>
            </w:r>
            <w:r w:rsidR="00F94FFE">
              <w:rPr>
                <w:rFonts w:ascii="Times New Roman" w:eastAsia="Times New Roman" w:hAnsi="Times New Roman"/>
                <w:sz w:val="26"/>
                <w:szCs w:val="26"/>
              </w:rPr>
              <w:t xml:space="preserve"> được</w:t>
            </w:r>
            <w:r w:rsidR="00156A07">
              <w:rPr>
                <w:rFonts w:ascii="Times New Roman" w:eastAsia="Times New Roman" w:hAnsi="Times New Roman"/>
                <w:sz w:val="26"/>
                <w:szCs w:val="26"/>
              </w:rPr>
              <w:t xml:space="preserve"> những khó khăn</w:t>
            </w:r>
            <w:r w:rsidR="00633EC4">
              <w:rPr>
                <w:rFonts w:ascii="Times New Roman" w:eastAsia="Times New Roman" w:hAnsi="Times New Roman"/>
                <w:sz w:val="26"/>
                <w:szCs w:val="26"/>
              </w:rPr>
              <w:t xml:space="preserve"> khi Nga trở thành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1 </w:t>
            </w:r>
            <w:r w:rsidR="005515C1">
              <w:rPr>
                <w:rFonts w:ascii="Times New Roman" w:eastAsia="Times New Roman" w:hAnsi="Times New Roman"/>
                <w:sz w:val="26"/>
                <w:szCs w:val="26"/>
              </w:rPr>
              <w:t>quốc gia</w:t>
            </w:r>
            <w:r w:rsidR="00633EC4">
              <w:rPr>
                <w:rFonts w:ascii="Times New Roman" w:eastAsia="Times New Roman" w:hAnsi="Times New Roman"/>
                <w:sz w:val="26"/>
                <w:szCs w:val="26"/>
              </w:rPr>
              <w:t xml:space="preserve"> độc lập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9C5C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F9583" w14:textId="77777777" w:rsidR="00A62C62" w:rsidRPr="00A62C62" w:rsidRDefault="009C5C94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Phân tích được nguyên nh</w:t>
            </w:r>
            <w:r w:rsidR="009744FF">
              <w:rPr>
                <w:rFonts w:ascii="Times New Roman" w:eastAsia="Times New Roman" w:hAnsi="Times New Roman"/>
                <w:sz w:val="26"/>
                <w:szCs w:val="26"/>
              </w:rPr>
              <w:t>ân</w:t>
            </w:r>
            <w:r w:rsidR="00F94FFE">
              <w:rPr>
                <w:rFonts w:ascii="Times New Roman" w:eastAsia="Times New Roman" w:hAnsi="Times New Roman"/>
                <w:sz w:val="26"/>
                <w:szCs w:val="26"/>
              </w:rPr>
              <w:t xml:space="preserve"> khiến nước Nga khôi phục lại vị trí cường quốc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78DAA" w14:textId="77777777" w:rsidR="00A62C62" w:rsidRPr="00A62C62" w:rsidRDefault="00A62C62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62C62" w:rsidRPr="00A62C62" w14:paraId="6F928F86" w14:textId="77777777" w:rsidTr="00A62C62">
        <w:trPr>
          <w:trHeight w:val="94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CE18DA" w14:textId="77777777" w:rsidR="00A62C62" w:rsidRPr="00A62C62" w:rsidRDefault="00A62C62" w:rsidP="002D5F11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sz w:val="26"/>
                <w:szCs w:val="26"/>
              </w:rPr>
              <w:t>Nhật Bản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9C61AC" w14:textId="77777777" w:rsidR="00A62C62" w:rsidRPr="00A62C62" w:rsidRDefault="00A62C62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</w:pPr>
            <w:r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Biết vị trí địa lí, phạm vi lãnh thổ của Nhật Bản. Trình bày được đặc điểm tự nhiên, dân c</w:t>
            </w:r>
            <w:r w:rsidR="00E2189E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ư,</w:t>
            </w:r>
            <w:r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quá trình phát triển</w:t>
            </w:r>
            <w:r w:rsidR="00F53180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kinh tế</w:t>
            </w:r>
            <w:r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và</w:t>
            </w:r>
            <w:r w:rsidR="008B2F3F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đặc điểm c</w:t>
            </w:r>
            <w:r w:rsidR="00F53180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ác ngành</w:t>
            </w:r>
            <w:r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 kinh tế Nhật Bản.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5BF4B3" w14:textId="77777777" w:rsidR="00A62C62" w:rsidRPr="00A62C62" w:rsidRDefault="00F94FFE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Đánh giá được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 xml:space="preserve"> những thuận lợi và khó khăn của điều kiện tự nhiên</w:t>
            </w:r>
            <w:r w:rsidR="009B6FC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 xml:space="preserve"> dân cư đối với sự phát triển kinh tế của Nhật Bản.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C7628C" w14:textId="77777777" w:rsidR="00A62C62" w:rsidRPr="00A62C62" w:rsidRDefault="00D16BB4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Phân tích được nguyên nhân tạo nên những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 xml:space="preserve"> thành tựu trong quá trình phát triển kinh tế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 xml:space="preserve"> Nhật Bản.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1C87CC" w14:textId="77777777" w:rsidR="00A62C62" w:rsidRPr="00A62C62" w:rsidRDefault="00A62C62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62C62" w:rsidRPr="00A62C62" w14:paraId="41DCF760" w14:textId="77777777" w:rsidTr="00A62C62">
        <w:trPr>
          <w:trHeight w:val="384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98EF87" w14:textId="77777777" w:rsidR="00A62C62" w:rsidRPr="00A62C62" w:rsidRDefault="00A62C62" w:rsidP="002D5F11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sz w:val="26"/>
                <w:szCs w:val="26"/>
              </w:rPr>
              <w:t>Trung Quốc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A2A04F4" w14:textId="77777777" w:rsidR="00A62C62" w:rsidRPr="00A62C62" w:rsidRDefault="00A62C62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</w:pPr>
            <w:r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Biết vị trí địa lí, phạm vi lãnh thổ của Trung Quốc. Trình bày được đặc điểm tự nhiên, dân cư - xã h</w:t>
            </w:r>
            <w:r w:rsidR="000D7C7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 xml:space="preserve">ội của </w:t>
            </w:r>
            <w:r w:rsidRPr="00A62C62">
              <w:rPr>
                <w:rFonts w:ascii="Times New Roman" w:eastAsia="Times New Roman" w:hAnsi="Times New Roman"/>
                <w:sz w:val="26"/>
                <w:szCs w:val="26"/>
                <w:lang w:bidi="he-IL"/>
              </w:rPr>
              <w:t>Trung Quốc.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90CE899" w14:textId="77777777" w:rsidR="00A62C62" w:rsidRPr="00A62C62" w:rsidRDefault="00B15434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Đánh giá được những ảnh hưởng</w:t>
            </w:r>
            <w:r w:rsidR="00A62C62" w:rsidRPr="00A62C62">
              <w:rPr>
                <w:rFonts w:ascii="Times New Roman" w:eastAsia="Times New Roman" w:hAnsi="Times New Roman"/>
                <w:sz w:val="26"/>
                <w:szCs w:val="26"/>
              </w:rPr>
              <w:t xml:space="preserve"> của điều kiện tự nhiên, dân cư đối với sự phát triển kinh tế của Trung Quốc.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43F4E6" w14:textId="77777777" w:rsidR="00A62C62" w:rsidRPr="00A62C62" w:rsidRDefault="00F02E63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Phân tích được </w:t>
            </w:r>
            <w:r w:rsidR="0035060E">
              <w:rPr>
                <w:rFonts w:ascii="Times New Roman" w:eastAsia="Times New Roman" w:hAnsi="Times New Roman"/>
                <w:sz w:val="26"/>
                <w:szCs w:val="26"/>
              </w:rPr>
              <w:t>mặt tích cực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và </w:t>
            </w:r>
            <w:r w:rsidR="0035060E">
              <w:rPr>
                <w:rFonts w:ascii="Times New Roman" w:eastAsia="Times New Roman" w:hAnsi="Times New Roman"/>
                <w:sz w:val="26"/>
                <w:szCs w:val="26"/>
              </w:rPr>
              <w:t>tiêu cực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của chính sách dân số triệt để của Trung Quốc</w:t>
            </w:r>
            <w:r w:rsidR="0035060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16E1B1" w14:textId="77777777" w:rsidR="00A62C62" w:rsidRPr="00A62C62" w:rsidRDefault="004C0695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Biết cách xử lí các bảng số liệu, nhận dạng</w:t>
            </w:r>
            <w:r w:rsidR="003F5038">
              <w:rPr>
                <w:rFonts w:ascii="Times New Roman" w:eastAsia="Times New Roman" w:hAnsi="Times New Roman"/>
                <w:sz w:val="26"/>
                <w:szCs w:val="26"/>
              </w:rPr>
              <w:t xml:space="preserve"> các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biểu đồ</w:t>
            </w:r>
            <w:r w:rsidR="003F5038">
              <w:rPr>
                <w:rFonts w:ascii="Times New Roman" w:eastAsia="Times New Roman" w:hAnsi="Times New Roman"/>
                <w:sz w:val="26"/>
                <w:szCs w:val="26"/>
              </w:rPr>
              <w:t>. Rút ra những nhận xét cần thiết từ bảng số liệu, biểu đồ.</w:t>
            </w:r>
          </w:p>
        </w:tc>
      </w:tr>
      <w:tr w:rsidR="00A62C62" w:rsidRPr="00A62C62" w14:paraId="629F1D64" w14:textId="77777777" w:rsidTr="00A62C62">
        <w:trPr>
          <w:trHeight w:val="158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0EE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 số điểm: 10 điểm</w:t>
            </w:r>
          </w:p>
          <w:p w14:paraId="222F893F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71D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Số câu: </w:t>
            </w:r>
            <w:r w:rsidR="00B220AF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16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TN </w:t>
            </w:r>
          </w:p>
          <w:p w14:paraId="666A931D" w14:textId="77777777" w:rsidR="00A62C62" w:rsidRPr="00A62C62" w:rsidRDefault="00B220AF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4,0</w:t>
            </w:r>
            <w:r w:rsidR="00A62C62"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điểm (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40</w:t>
            </w:r>
            <w:r w:rsidR="00A62C62"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% tổng số điểm)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67D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Số câu: </w:t>
            </w:r>
            <w:r w:rsidR="00B220AF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12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T</w:t>
            </w:r>
            <w:r w:rsidR="00B220AF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N</w:t>
            </w:r>
          </w:p>
          <w:p w14:paraId="44F1D2EA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3,</w:t>
            </w:r>
            <w:r w:rsidR="00B220AF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0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điểm (3</w:t>
            </w:r>
            <w:r w:rsidR="00B220AF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0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% tổng số điểm)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3C1E" w14:textId="77777777" w:rsidR="00A62C62" w:rsidRPr="00A62C62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Số câu: 0</w:t>
            </w:r>
            <w:r w:rsidR="00B220AF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8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TN </w:t>
            </w:r>
          </w:p>
          <w:p w14:paraId="71500DF5" w14:textId="77777777" w:rsidR="00A62C62" w:rsidRPr="00A62C62" w:rsidRDefault="00B220AF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2,0</w:t>
            </w:r>
            <w:r w:rsidR="00A62C62"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điểm (</w:t>
            </w:r>
            <w:r w:rsidR="00770D29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</w:t>
            </w:r>
            <w:r w:rsidR="00A62C62"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% tổng số điểm)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FA6" w14:textId="77777777" w:rsidR="00770D29" w:rsidRDefault="00A62C62" w:rsidP="00770D29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Số câu: 0</w:t>
            </w:r>
            <w:r w:rsidR="00770D29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4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TN </w:t>
            </w:r>
          </w:p>
          <w:p w14:paraId="1F462FA9" w14:textId="77777777" w:rsidR="00A62C62" w:rsidRPr="00770D29" w:rsidRDefault="00A62C62" w:rsidP="00770D29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1,</w:t>
            </w:r>
            <w:r w:rsidR="00770D29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0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 điểm (1</w:t>
            </w:r>
            <w:r w:rsidR="00770D29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0</w:t>
            </w:r>
            <w:r w:rsidRPr="00A62C62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% tổng số điểm)</w:t>
            </w:r>
          </w:p>
        </w:tc>
      </w:tr>
    </w:tbl>
    <w:p w14:paraId="0D376B9C" w14:textId="77777777" w:rsidR="00E45B6E" w:rsidRDefault="00E45B6E"/>
    <w:sectPr w:rsidR="00E45B6E" w:rsidSect="00AC093B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2"/>
    <w:rsid w:val="000D7C72"/>
    <w:rsid w:val="00147737"/>
    <w:rsid w:val="00156A07"/>
    <w:rsid w:val="0018467E"/>
    <w:rsid w:val="001B00C3"/>
    <w:rsid w:val="002D5F11"/>
    <w:rsid w:val="0035060E"/>
    <w:rsid w:val="003F5038"/>
    <w:rsid w:val="004442F3"/>
    <w:rsid w:val="004C0695"/>
    <w:rsid w:val="004E3DE2"/>
    <w:rsid w:val="005515C1"/>
    <w:rsid w:val="005764AD"/>
    <w:rsid w:val="00621F9F"/>
    <w:rsid w:val="0063108D"/>
    <w:rsid w:val="00633EC4"/>
    <w:rsid w:val="00672D25"/>
    <w:rsid w:val="00750A72"/>
    <w:rsid w:val="00770D29"/>
    <w:rsid w:val="007A5F42"/>
    <w:rsid w:val="007E0F9E"/>
    <w:rsid w:val="008158E7"/>
    <w:rsid w:val="008B2F3F"/>
    <w:rsid w:val="00930DD5"/>
    <w:rsid w:val="009744FF"/>
    <w:rsid w:val="009B6FCB"/>
    <w:rsid w:val="009C5C94"/>
    <w:rsid w:val="009D226E"/>
    <w:rsid w:val="00A62C62"/>
    <w:rsid w:val="00AC093B"/>
    <w:rsid w:val="00B15434"/>
    <w:rsid w:val="00B220AF"/>
    <w:rsid w:val="00B30A71"/>
    <w:rsid w:val="00C67ABE"/>
    <w:rsid w:val="00D16BB4"/>
    <w:rsid w:val="00DD10D6"/>
    <w:rsid w:val="00DF79C6"/>
    <w:rsid w:val="00E2189E"/>
    <w:rsid w:val="00E45B6E"/>
    <w:rsid w:val="00EF5DC6"/>
    <w:rsid w:val="00F02E63"/>
    <w:rsid w:val="00F53180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AE7C"/>
  <w15:chartTrackingRefBased/>
  <w15:docId w15:val="{83CFA74E-8381-4F45-A096-D9C978F7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2022-03-07T15:13:00Z</dcterms:created>
  <dcterms:modified xsi:type="dcterms:W3CDTF">2022-03-07T15:13:00Z</dcterms:modified>
</cp:coreProperties>
</file>